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A79" w14:textId="1B08E798" w:rsidR="004376E9" w:rsidRPr="00D5157F" w:rsidRDefault="004376E9" w:rsidP="004376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5157F">
        <w:rPr>
          <w:rFonts w:ascii="Times New Roman" w:hAnsi="Times New Roman" w:cs="Times New Roman"/>
          <w:b/>
          <w:bCs/>
          <w:sz w:val="24"/>
          <w:szCs w:val="24"/>
          <w:lang w:val="ro-RO"/>
        </w:rPr>
        <w:t>Tematică și Bibliografie</w:t>
      </w:r>
      <w:r w:rsidR="00D338E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admitere doctorat 2026</w:t>
      </w:r>
    </w:p>
    <w:p w14:paraId="0630E95A" w14:textId="481F2435" w:rsidR="004376E9" w:rsidRPr="00D338EC" w:rsidRDefault="00D338EC" w:rsidP="004376E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38E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Prof. univ. dr. </w:t>
      </w:r>
      <w:r w:rsidR="004376E9" w:rsidRPr="00D338E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Maria Crăciun </w:t>
      </w:r>
    </w:p>
    <w:p w14:paraId="1D74C750" w14:textId="77777777" w:rsidR="004376E9" w:rsidRPr="00716C17" w:rsidRDefault="004376E9" w:rsidP="00437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  <w:lang w:val="ro-RO"/>
        </w:rPr>
        <w:t>Tematica:</w:t>
      </w:r>
      <w:r w:rsidRPr="00716C17">
        <w:rPr>
          <w:rFonts w:ascii="Times New Roman" w:hAnsi="Times New Roman" w:cs="Times New Roman"/>
          <w:sz w:val="24"/>
          <w:szCs w:val="24"/>
          <w:lang w:val="ro-RO"/>
        </w:rPr>
        <w:t xml:space="preserve"> Aplicabilitatea categoriei de gen în analiza istorică </w:t>
      </w:r>
    </w:p>
    <w:p w14:paraId="240F1994" w14:textId="77777777" w:rsidR="004376E9" w:rsidRPr="00716C17" w:rsidRDefault="004376E9" w:rsidP="00437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sz w:val="24"/>
          <w:szCs w:val="24"/>
          <w:lang w:val="ro-RO"/>
        </w:rPr>
        <w:t xml:space="preserve">Candidații sunt invitați să prezinte un subiect de cercetare care investighează trecutul, în special în evul mediu și epoca modernă timpurie utilizînd categoria de gen/constructul de gen favorizând progresul cercetării în domeniul istorie prin adaptarea acestuia la dezbaterea contemporană.    </w:t>
      </w:r>
    </w:p>
    <w:p w14:paraId="7254FEF8" w14:textId="77777777" w:rsidR="004376E9" w:rsidRPr="00716C17" w:rsidRDefault="004376E9" w:rsidP="00437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sz w:val="24"/>
          <w:szCs w:val="24"/>
          <w:lang w:val="ro-RO"/>
        </w:rPr>
        <w:t xml:space="preserve">Examenul va consta dintr-o probă scrisă și una orală. </w:t>
      </w:r>
    </w:p>
    <w:p w14:paraId="41C65B21" w14:textId="77777777" w:rsidR="004376E9" w:rsidRPr="00716C17" w:rsidRDefault="004376E9" w:rsidP="004376E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sz w:val="24"/>
          <w:szCs w:val="24"/>
          <w:lang w:val="ro-RO"/>
        </w:rPr>
        <w:t xml:space="preserve">Prima se referă la aplicabilitatea categoriei de gen în analiza istorică prin apelul la lista bibliografică inclusă în acest document. </w:t>
      </w:r>
    </w:p>
    <w:p w14:paraId="71A2D9ED" w14:textId="77777777" w:rsidR="004376E9" w:rsidRPr="00716C17" w:rsidRDefault="004376E9" w:rsidP="004376E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sz w:val="24"/>
          <w:szCs w:val="24"/>
          <w:lang w:val="ro-RO"/>
        </w:rPr>
        <w:t xml:space="preserve">Cea de-a doua constă în prezentarea orală a proiectului de cercetare, predat în formă scrisă. Acesta va trebui să conțină subiectul, întrebarea de cercetare, scopul tezei, poziționarea în literatura dedicată subiectului, surse, abordare, metode, relevanță și bibliografie.  </w:t>
      </w:r>
    </w:p>
    <w:p w14:paraId="0F8F4A3E" w14:textId="77777777" w:rsidR="004376E9" w:rsidRPr="00716C17" w:rsidRDefault="004376E9" w:rsidP="00437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  <w:lang w:val="ro-RO"/>
        </w:rPr>
        <w:t>Bibliografia orientativă:</w:t>
      </w:r>
      <w:r w:rsidRPr="00716C17">
        <w:rPr>
          <w:rFonts w:ascii="Times New Roman" w:hAnsi="Times New Roman" w:cs="Times New Roman"/>
          <w:sz w:val="24"/>
          <w:szCs w:val="24"/>
          <w:lang w:val="ro-RO"/>
        </w:rPr>
        <w:t xml:space="preserve"> Concepte și direcții de cercetare (consultarea bibliografiei implică parcurgerea a 22 de pagini pe zi). </w:t>
      </w:r>
    </w:p>
    <w:p w14:paraId="071FEACB" w14:textId="77777777" w:rsidR="004376E9" w:rsidRPr="00716C17" w:rsidRDefault="004376E9" w:rsidP="004376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  <w:lang w:val="ro-RO"/>
        </w:rPr>
        <w:t>Anii 1970</w:t>
      </w:r>
    </w:p>
    <w:p w14:paraId="6E7F1F0C" w14:textId="77777777" w:rsidR="004376E9" w:rsidRPr="00716C17" w:rsidRDefault="004376E9" w:rsidP="004376E9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 xml:space="preserve">Renate Bridenthal, ‘Beyond Kinder, </w:t>
      </w:r>
      <w:proofErr w:type="spellStart"/>
      <w:r w:rsidRPr="00716C17">
        <w:rPr>
          <w:rFonts w:ascii="Times New Roman" w:hAnsi="Times New Roman" w:cs="Times New Roman"/>
          <w:sz w:val="24"/>
          <w:szCs w:val="24"/>
        </w:rPr>
        <w:t>Küche</w:t>
      </w:r>
      <w:proofErr w:type="spellEnd"/>
      <w:r w:rsidRPr="00716C17">
        <w:rPr>
          <w:rFonts w:ascii="Times New Roman" w:hAnsi="Times New Roman" w:cs="Times New Roman"/>
          <w:sz w:val="24"/>
          <w:szCs w:val="24"/>
        </w:rPr>
        <w:t xml:space="preserve">, Kirche. Weimar Women at Work,’ </w:t>
      </w:r>
      <w:r w:rsidRPr="00716C17">
        <w:rPr>
          <w:rFonts w:ascii="Times New Roman" w:hAnsi="Times New Roman" w:cs="Times New Roman"/>
          <w:i/>
          <w:iCs/>
          <w:sz w:val="24"/>
          <w:szCs w:val="24"/>
        </w:rPr>
        <w:t>Central European History</w:t>
      </w:r>
      <w:r w:rsidRPr="00716C17">
        <w:rPr>
          <w:rFonts w:ascii="Times New Roman" w:hAnsi="Times New Roman" w:cs="Times New Roman"/>
          <w:sz w:val="24"/>
          <w:szCs w:val="24"/>
        </w:rPr>
        <w:t xml:space="preserve"> 6 (1973): 148-166.</w:t>
      </w:r>
    </w:p>
    <w:p w14:paraId="1DD6FD22" w14:textId="77777777" w:rsidR="004376E9" w:rsidRPr="00716C17" w:rsidRDefault="004376E9" w:rsidP="004376E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Gerda Lerner, ‘Placing Women in History: Definitions and Challenges,” </w:t>
      </w:r>
      <w:r w:rsidRPr="00716C17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Feminist Studies</w:t>
      </w:r>
      <w:r w:rsidRPr="00716C17">
        <w:rPr>
          <w:rFonts w:ascii="Times New Roman" w:eastAsia="Times New Roman" w:hAnsi="Times New Roman" w:cs="Times New Roman"/>
          <w:sz w:val="24"/>
          <w:szCs w:val="24"/>
          <w:lang w:eastAsia="ro-RO"/>
        </w:rPr>
        <w:t>, 3/1-2 (1975), 5-14.</w:t>
      </w:r>
    </w:p>
    <w:p w14:paraId="5BB9B8DF" w14:textId="77777777" w:rsidR="004376E9" w:rsidRPr="00716C17" w:rsidRDefault="004376E9" w:rsidP="004376E9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 xml:space="preserve">Natalie Zemon Davis, </w:t>
      </w:r>
      <w:proofErr w:type="gramStart"/>
      <w:r w:rsidRPr="00716C17">
        <w:rPr>
          <w:rFonts w:ascii="Times New Roman" w:hAnsi="Times New Roman" w:cs="Times New Roman"/>
          <w:sz w:val="24"/>
          <w:szCs w:val="24"/>
        </w:rPr>
        <w:t>‘”Women’s</w:t>
      </w:r>
      <w:proofErr w:type="gramEnd"/>
      <w:r w:rsidRPr="00716C17">
        <w:rPr>
          <w:rFonts w:ascii="Times New Roman" w:hAnsi="Times New Roman" w:cs="Times New Roman"/>
          <w:sz w:val="24"/>
          <w:szCs w:val="24"/>
        </w:rPr>
        <w:t xml:space="preserve"> History” in Transition: The European Case,’ </w:t>
      </w:r>
      <w:r w:rsidRPr="00716C17">
        <w:rPr>
          <w:rFonts w:ascii="Times New Roman" w:hAnsi="Times New Roman" w:cs="Times New Roman"/>
          <w:i/>
          <w:iCs/>
          <w:sz w:val="24"/>
          <w:szCs w:val="24"/>
        </w:rPr>
        <w:t>Feminist Studies</w:t>
      </w:r>
      <w:r w:rsidRPr="00716C17">
        <w:rPr>
          <w:rFonts w:ascii="Times New Roman" w:hAnsi="Times New Roman" w:cs="Times New Roman"/>
          <w:sz w:val="24"/>
          <w:szCs w:val="24"/>
        </w:rPr>
        <w:t xml:space="preserve"> 3/3-4 (1976): 83-103. </w:t>
      </w:r>
    </w:p>
    <w:p w14:paraId="7EF633B3" w14:textId="77777777" w:rsidR="004376E9" w:rsidRPr="00716C17" w:rsidRDefault="004376E9" w:rsidP="00437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</w:rPr>
        <w:t xml:space="preserve">Anii 1980 </w:t>
      </w:r>
    </w:p>
    <w:p w14:paraId="462A616C" w14:textId="77777777" w:rsidR="004376E9" w:rsidRPr="00716C17" w:rsidRDefault="004376E9" w:rsidP="004376E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Joan Wallach Scott, ‘Women in History. The Modern Period,’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Past&amp; Present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101 (1983): 141-157.  </w:t>
      </w:r>
    </w:p>
    <w:p w14:paraId="62E84EC3" w14:textId="77777777" w:rsidR="004376E9" w:rsidRPr="00716C17" w:rsidRDefault="004376E9" w:rsidP="004376E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 xml:space="preserve">Joan W. Scott, ‘Gender: A Useful Category of Historical Analysis,’ </w:t>
      </w:r>
      <w:r w:rsidRPr="00716C17">
        <w:rPr>
          <w:rFonts w:ascii="Times New Roman" w:hAnsi="Times New Roman" w:cs="Times New Roman"/>
          <w:i/>
          <w:iCs/>
          <w:sz w:val="24"/>
          <w:szCs w:val="24"/>
        </w:rPr>
        <w:t>The American Historical Review</w:t>
      </w:r>
      <w:r w:rsidRPr="00716C17">
        <w:rPr>
          <w:rFonts w:ascii="Times New Roman" w:hAnsi="Times New Roman" w:cs="Times New Roman"/>
          <w:sz w:val="24"/>
          <w:szCs w:val="24"/>
        </w:rPr>
        <w:t xml:space="preserve"> 91/5 (December 1986): 1053- 1075.</w:t>
      </w:r>
    </w:p>
    <w:p w14:paraId="05228994" w14:textId="77777777" w:rsidR="004376E9" w:rsidRPr="00716C17" w:rsidRDefault="004376E9" w:rsidP="004376E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Merry E. Wiesner, ‘Beyond Women and the Family: Towards a Gender Analysis of the Reformation,” </w:t>
      </w:r>
      <w:r w:rsidRPr="00716C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Sixteenth Century Journal</w:t>
      </w:r>
      <w:r w:rsidRPr="00716C17">
        <w:rPr>
          <w:rFonts w:ascii="Times New Roman" w:hAnsi="Times New Roman" w:cs="Times New Roman"/>
          <w:color w:val="000000" w:themeColor="text1"/>
          <w:sz w:val="24"/>
          <w:szCs w:val="24"/>
        </w:rPr>
        <w:t>, 18/3 (1987), 311–321.</w:t>
      </w:r>
    </w:p>
    <w:p w14:paraId="1904941D" w14:textId="77777777" w:rsidR="004376E9" w:rsidRPr="00716C17" w:rsidRDefault="004376E9" w:rsidP="004376E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Judith Butler, ‘Performance Acts and Gender Constitution: An Essay in Phenomenology and Feminist Theory,’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Theatre Journal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40/4 (1988): 519-531.</w:t>
      </w:r>
    </w:p>
    <w:p w14:paraId="5FB2C97E" w14:textId="77777777" w:rsidR="004376E9" w:rsidRPr="00716C17" w:rsidRDefault="004376E9" w:rsidP="004376E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Louise A. Tilly, ‘Gender, Women’s History and Social History,’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Social Science History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13/4 (1989): 439-462. </w:t>
      </w:r>
      <w:r w:rsidRPr="00716C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8E8C003" w14:textId="77777777" w:rsidR="004376E9" w:rsidRPr="00716C17" w:rsidRDefault="004376E9" w:rsidP="00437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</w:rPr>
        <w:t>Anii 1990</w:t>
      </w:r>
    </w:p>
    <w:p w14:paraId="441B19BE" w14:textId="77777777" w:rsidR="004376E9" w:rsidRPr="00716C17" w:rsidRDefault="004376E9" w:rsidP="004376E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Jean H. </w:t>
      </w:r>
      <w:proofErr w:type="spellStart"/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Quataert</w:t>
      </w:r>
      <w:proofErr w:type="spellEnd"/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‘Reflections on European Women’s History.’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NWSA Journal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3/2 (1991): 298–308. – The National Women’s Studies Association Journal </w:t>
      </w:r>
    </w:p>
    <w:p w14:paraId="5EB76204" w14:textId="77777777" w:rsidR="004376E9" w:rsidRPr="00716C17" w:rsidRDefault="004376E9" w:rsidP="004376E9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 xml:space="preserve">Judith M. Bennett, ‘Medievalism and Feminism,’ </w:t>
      </w:r>
      <w:r w:rsidRPr="00716C17">
        <w:rPr>
          <w:rFonts w:ascii="Times New Roman" w:hAnsi="Times New Roman" w:cs="Times New Roman"/>
          <w:i/>
          <w:iCs/>
          <w:sz w:val="24"/>
          <w:szCs w:val="24"/>
        </w:rPr>
        <w:t>Speculum</w:t>
      </w:r>
      <w:r w:rsidRPr="00716C17">
        <w:rPr>
          <w:rFonts w:ascii="Times New Roman" w:hAnsi="Times New Roman" w:cs="Times New Roman"/>
          <w:sz w:val="24"/>
          <w:szCs w:val="24"/>
        </w:rPr>
        <w:t xml:space="preserve"> 68 (1993): 309-331. </w:t>
      </w:r>
    </w:p>
    <w:p w14:paraId="3C38250C" w14:textId="77777777" w:rsidR="004376E9" w:rsidRPr="00716C17" w:rsidRDefault="004376E9" w:rsidP="00437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</w:rPr>
        <w:t xml:space="preserve">Anii 2000 </w:t>
      </w:r>
    </w:p>
    <w:p w14:paraId="50F1FEEC" w14:textId="77777777" w:rsidR="004376E9" w:rsidRPr="00716C17" w:rsidRDefault="004376E9" w:rsidP="004376E9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Merry E. Wiesner-Hanks, ‘Gender Theory and the Study of Early Modern Europe’ in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Practice of Gender in Late Medieval and Early Modern Europe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16C17">
        <w:rPr>
          <w:rFonts w:ascii="Times New Roman" w:hAnsi="Times New Roman" w:cs="Times New Roman"/>
          <w:sz w:val="24"/>
          <w:szCs w:val="24"/>
          <w:lang w:val="en-US"/>
        </w:rPr>
        <w:t>Brepols</w:t>
      </w:r>
      <w:proofErr w:type="spellEnd"/>
      <w:r w:rsidRPr="00716C17">
        <w:rPr>
          <w:rFonts w:ascii="Times New Roman" w:hAnsi="Times New Roman" w:cs="Times New Roman"/>
          <w:sz w:val="24"/>
          <w:szCs w:val="24"/>
          <w:lang w:val="en-US"/>
        </w:rPr>
        <w:t>, 2008)</w:t>
      </w:r>
      <w:r w:rsidRPr="00716C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ECD7B19" w14:textId="77777777" w:rsidR="004376E9" w:rsidRPr="00716C17" w:rsidRDefault="004376E9" w:rsidP="004376E9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Merry E. Wiesner-Hanks, ‘Gender in Early Modern Europe: Introduction to Recent Studies,’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The Sixteenth Century Journal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31/1 (2000): 3–5. </w:t>
      </w:r>
    </w:p>
    <w:p w14:paraId="5BF86657" w14:textId="77777777" w:rsidR="004376E9" w:rsidRPr="00716C17" w:rsidRDefault="004376E9" w:rsidP="004376E9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Merry E. Wiesner-Hanks, ‘Reflections on a Quarter Century of Research on Women and the Reformation,’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History Has Many Voices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edited by LEE PALMER WANDEL, vol. 63, Penn State University Press, 2003, 93–112.</w:t>
      </w:r>
    </w:p>
    <w:p w14:paraId="637B05F9" w14:textId="77777777" w:rsidR="004376E9" w:rsidRPr="00716C17" w:rsidRDefault="004376E9" w:rsidP="004376E9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Merry E. Wiesner-Hanks, ‘Women’s History and Social History: Are Structures Necessary’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Time, Space, and Women’s Lives in Early Modern Europe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edited by Anne Jacobson Schutte et al., vol. 57, Penn State University Press, 2001, 3–16.</w:t>
      </w:r>
    </w:p>
    <w:p w14:paraId="01A110A8" w14:textId="77777777" w:rsidR="004376E9" w:rsidRPr="00716C17" w:rsidRDefault="004376E9" w:rsidP="004376E9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Judith M. Bennett, ‘Medieval Women in Modern Perspective? In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Women’s History in Global Perspective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ed. Bonnie G. Smith (Urbana/Chicago: University of Illinois Press, 2005), 139-286. </w:t>
      </w:r>
    </w:p>
    <w:p w14:paraId="1B089F6D" w14:textId="77777777" w:rsidR="004376E9" w:rsidRPr="00716C17" w:rsidRDefault="004376E9" w:rsidP="00437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</w:rPr>
        <w:t xml:space="preserve">Anii 2010 </w:t>
      </w:r>
    </w:p>
    <w:p w14:paraId="34D8DA63" w14:textId="77777777" w:rsidR="004376E9" w:rsidRPr="00716C17" w:rsidRDefault="004376E9" w:rsidP="004376E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Merry E. Wiesner-Hanks, ‘Early Modern Women and the Transnational Turn,’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Early Modern Women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7 (2012): 191–202. </w:t>
      </w:r>
    </w:p>
    <w:p w14:paraId="7E3ED95F" w14:textId="77777777" w:rsidR="004376E9" w:rsidRPr="00716C17" w:rsidRDefault="004376E9" w:rsidP="004376E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Merry E. Wiesner-Hanks, ‘Sexual Identity and Other Aspects of ‘Modern’ Sexuality: New Chronologies, Same Old Problem?’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After The History of Sexuality: German Genealogies with and Beyond Foucault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edited by SCOTT SPECTOR et al., 1st ed., </w:t>
      </w:r>
      <w:proofErr w:type="spellStart"/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Berghahn</w:t>
      </w:r>
      <w:proofErr w:type="spellEnd"/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Books, 2012, 31–42.</w:t>
      </w:r>
    </w:p>
    <w:p w14:paraId="4C260C0E" w14:textId="77777777" w:rsidR="004376E9" w:rsidRPr="00716C17" w:rsidRDefault="004376E9" w:rsidP="004376E9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Martha Easton, ‘Feminism’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Studies in Iconography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33 (2012): 99-112.</w:t>
      </w:r>
      <w:r w:rsidRPr="00716C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59A15E46" w14:textId="1B9EFD69" w:rsidR="00716C17" w:rsidRPr="00656E6D" w:rsidRDefault="00716C17" w:rsidP="004376E9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Jocelyn Olcott, ‘A Happier Marriage? Feminist History Takes the Transnational Turn’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Making Women’s Histories</w:t>
      </w:r>
      <w:r w:rsidR="00656E6D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Beyond National Perspectives 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ed. Pamela S. Nadell and Kate Haulman (NYU Press, 2013): 237-258.   </w:t>
      </w:r>
    </w:p>
    <w:p w14:paraId="02F20205" w14:textId="7A222C2F" w:rsidR="00656E6D" w:rsidRPr="00716C17" w:rsidRDefault="00656E6D" w:rsidP="004376E9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Kathy Peiss, ‘Women’s Pasts and the Currents of U.S. History’ </w:t>
      </w:r>
      <w:r w:rsidRPr="00656E6D">
        <w:rPr>
          <w:rFonts w:ascii="Times New Roman" w:hAnsi="Times New Roman" w:cs="Times New Roman"/>
          <w:i/>
          <w:iCs/>
          <w:sz w:val="24"/>
          <w:szCs w:val="24"/>
          <w:lang w:val="en-US"/>
        </w:rPr>
        <w:t>Making Women’s Histories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17-37.   </w:t>
      </w:r>
    </w:p>
    <w:p w14:paraId="6AA964F4" w14:textId="77777777" w:rsidR="004376E9" w:rsidRPr="00716C17" w:rsidRDefault="004376E9" w:rsidP="004376E9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Theresa Earenfight, ‘Where Do We Go from Here? Some Thoughts on Power and Gender in the Middle Ages,’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MFF 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51/2 (2015): 116-131.  Medieval Feminist Forum. A Journal of Gender and Sexuality </w:t>
      </w:r>
    </w:p>
    <w:p w14:paraId="7F92C5BE" w14:textId="77777777" w:rsidR="004376E9" w:rsidRPr="00716C17" w:rsidRDefault="004376E9" w:rsidP="004376E9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Merry E. Wiesner-Hanks, ‘Adjusting Our Lenses to Make Gender Visible,’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Early Modern Women </w:t>
      </w:r>
      <w:r w:rsidRPr="00716C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12/2 (2018): 3-32. </w:t>
      </w:r>
    </w:p>
    <w:p w14:paraId="05180AFE" w14:textId="1B5EC0ED" w:rsidR="00716C17" w:rsidRPr="00716C17" w:rsidRDefault="00716C17" w:rsidP="004376E9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Karen Hagemann, Donna Harsch, ‘Gendering Central European History. Changing Representations of Women and Gender in Comparison 1968-2017’ </w:t>
      </w:r>
      <w:r w:rsidRPr="00716C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Central European History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51 (2018): 114-127.  </w:t>
      </w:r>
    </w:p>
    <w:p w14:paraId="3CB919D0" w14:textId="77777777" w:rsidR="004376E9" w:rsidRPr="00716C17" w:rsidRDefault="004376E9" w:rsidP="00437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C17">
        <w:rPr>
          <w:rFonts w:ascii="Times New Roman" w:hAnsi="Times New Roman" w:cs="Times New Roman"/>
          <w:b/>
          <w:bCs/>
          <w:sz w:val="24"/>
          <w:szCs w:val="24"/>
        </w:rPr>
        <w:t xml:space="preserve">Anii 2020 </w:t>
      </w:r>
    </w:p>
    <w:p w14:paraId="242009EB" w14:textId="77777777" w:rsidR="004376E9" w:rsidRPr="00716C17" w:rsidRDefault="004376E9" w:rsidP="004376E9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John Van Engen, ‘Positioning women in medieval society, culture and religion’ in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Women Intellectuals and Leaders in the Middle Ages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(D.S. Brewer, 2020), 397-402. </w:t>
      </w:r>
    </w:p>
    <w:p w14:paraId="7C294F8A" w14:textId="77777777" w:rsidR="004376E9" w:rsidRPr="00716C17" w:rsidRDefault="004376E9" w:rsidP="004376E9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Merry E. Wiesner-Hanks, ‘Gender Intersectionality and Global Social History,’ </w:t>
      </w:r>
      <w:r w:rsidRPr="00716C17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Historical Journal</w:t>
      </w:r>
      <w:r w:rsidRPr="00716C17">
        <w:rPr>
          <w:rFonts w:ascii="Times New Roman" w:hAnsi="Times New Roman" w:cs="Times New Roman"/>
          <w:sz w:val="24"/>
          <w:szCs w:val="24"/>
          <w:lang w:val="en-US"/>
        </w:rPr>
        <w:t xml:space="preserve"> 67 (2024): 649-669. </w:t>
      </w:r>
    </w:p>
    <w:p w14:paraId="57DD52CC" w14:textId="77777777" w:rsidR="004376E9" w:rsidRDefault="004376E9" w:rsidP="004376E9">
      <w:pPr>
        <w:rPr>
          <w:rFonts w:ascii="Times New Roman" w:hAnsi="Times New Roman" w:cs="Times New Roman"/>
          <w:sz w:val="24"/>
          <w:szCs w:val="24"/>
        </w:rPr>
      </w:pPr>
    </w:p>
    <w:p w14:paraId="60BE4B14" w14:textId="77777777" w:rsidR="004376E9" w:rsidRPr="004E19CB" w:rsidRDefault="004376E9" w:rsidP="004376E9">
      <w:pPr>
        <w:rPr>
          <w:rFonts w:ascii="Times New Roman" w:hAnsi="Times New Roman" w:cs="Times New Roman"/>
          <w:sz w:val="24"/>
          <w:szCs w:val="24"/>
        </w:rPr>
      </w:pPr>
    </w:p>
    <w:p w14:paraId="23C20EEA" w14:textId="77777777" w:rsidR="00AD231E" w:rsidRPr="004376E9" w:rsidRDefault="00AD231E">
      <w:pPr>
        <w:rPr>
          <w:rFonts w:ascii="Times New Roman" w:hAnsi="Times New Roman" w:cs="Times New Roman"/>
          <w:sz w:val="24"/>
          <w:szCs w:val="24"/>
        </w:rPr>
      </w:pPr>
    </w:p>
    <w:sectPr w:rsidR="00AD231E" w:rsidRPr="00437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402"/>
    <w:multiLevelType w:val="hybridMultilevel"/>
    <w:tmpl w:val="062E9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FBB"/>
    <w:multiLevelType w:val="multilevel"/>
    <w:tmpl w:val="C53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E7305"/>
    <w:multiLevelType w:val="multilevel"/>
    <w:tmpl w:val="C53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83029"/>
    <w:multiLevelType w:val="multilevel"/>
    <w:tmpl w:val="C53E8D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6CEE3118"/>
    <w:multiLevelType w:val="hybridMultilevel"/>
    <w:tmpl w:val="6B145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565A1"/>
    <w:multiLevelType w:val="multilevel"/>
    <w:tmpl w:val="C53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A1A1C"/>
    <w:multiLevelType w:val="multilevel"/>
    <w:tmpl w:val="C53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291962">
    <w:abstractNumId w:val="4"/>
  </w:num>
  <w:num w:numId="2" w16cid:durableId="198978635">
    <w:abstractNumId w:val="6"/>
  </w:num>
  <w:num w:numId="3" w16cid:durableId="1098333394">
    <w:abstractNumId w:val="3"/>
  </w:num>
  <w:num w:numId="4" w16cid:durableId="1468232587">
    <w:abstractNumId w:val="1"/>
  </w:num>
  <w:num w:numId="5" w16cid:durableId="531265617">
    <w:abstractNumId w:val="0"/>
  </w:num>
  <w:num w:numId="6" w16cid:durableId="1733121275">
    <w:abstractNumId w:val="2"/>
  </w:num>
  <w:num w:numId="7" w16cid:durableId="515389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9"/>
    <w:rsid w:val="0022511F"/>
    <w:rsid w:val="004376E9"/>
    <w:rsid w:val="0056250F"/>
    <w:rsid w:val="00656E6D"/>
    <w:rsid w:val="00716C17"/>
    <w:rsid w:val="007B52EC"/>
    <w:rsid w:val="00AD231E"/>
    <w:rsid w:val="00D338EC"/>
    <w:rsid w:val="00F131ED"/>
    <w:rsid w:val="00F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7BA3"/>
  <w15:chartTrackingRefBased/>
  <w15:docId w15:val="{24D0D55C-469C-48D0-98FC-A747044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E9"/>
  </w:style>
  <w:style w:type="paragraph" w:styleId="Titlu1">
    <w:name w:val="heading 1"/>
    <w:basedOn w:val="Normal"/>
    <w:next w:val="Normal"/>
    <w:link w:val="Titlu1Caracter"/>
    <w:uiPriority w:val="9"/>
    <w:qFormat/>
    <w:rsid w:val="00437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37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37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37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37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37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37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37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37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37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37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37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376E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376E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376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376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376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376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37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37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37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37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37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376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376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376E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37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376E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37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Maria-Silvia Craciun</dc:creator>
  <cp:keywords/>
  <dc:description/>
  <cp:lastModifiedBy>Gheorghe Negustor</cp:lastModifiedBy>
  <cp:revision>3</cp:revision>
  <dcterms:created xsi:type="dcterms:W3CDTF">2026-07-06T18:06:00Z</dcterms:created>
  <dcterms:modified xsi:type="dcterms:W3CDTF">2026-07-10T05:13:00Z</dcterms:modified>
</cp:coreProperties>
</file>